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4026E6">
        <w:rPr>
          <w:rFonts w:cs="Arial-BoldMT"/>
          <w:b/>
          <w:bCs/>
          <w:sz w:val="24"/>
          <w:szCs w:val="24"/>
        </w:rPr>
        <w:t xml:space="preserve">FORSKRIFT OM INNKREVJING FARVASSAVGIFT 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 xml:space="preserve">Vedteke av kommunestyret i </w:t>
      </w:r>
      <w:r>
        <w:rPr>
          <w:rFonts w:cs="ArialMT"/>
          <w:sz w:val="19"/>
          <w:szCs w:val="19"/>
        </w:rPr>
        <w:t>Askvoll, Fjaler, Hyllestad, Kinn og Sunnfjord,</w:t>
      </w:r>
      <w:r w:rsidRPr="004026E6">
        <w:rPr>
          <w:rFonts w:cs="ArialMT"/>
          <w:sz w:val="19"/>
          <w:szCs w:val="19"/>
        </w:rPr>
        <w:t xml:space="preserve"> xx.xx.xxxx: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 xml:space="preserve">IKRAFTSETJNGSDATO: </w:t>
      </w:r>
      <w:r w:rsidR="00E8606D">
        <w:rPr>
          <w:rFonts w:cs="ArialMT"/>
          <w:sz w:val="19"/>
          <w:szCs w:val="19"/>
        </w:rPr>
        <w:t>01. januar 2021.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 xml:space="preserve">GJELD FOR: </w:t>
      </w:r>
      <w:r>
        <w:rPr>
          <w:rFonts w:cs="ArialMT"/>
          <w:sz w:val="19"/>
          <w:szCs w:val="19"/>
        </w:rPr>
        <w:t xml:space="preserve">Askvoll, Fjaler, Hyllestad, Kinn </w:t>
      </w:r>
      <w:r w:rsidR="009906BC">
        <w:rPr>
          <w:rFonts w:cs="ArialMT"/>
          <w:sz w:val="19"/>
          <w:szCs w:val="19"/>
        </w:rPr>
        <w:t xml:space="preserve">(sjøområdet i gamle Flora kommune) </w:t>
      </w:r>
      <w:r>
        <w:rPr>
          <w:rFonts w:cs="ArialMT"/>
          <w:sz w:val="19"/>
          <w:szCs w:val="19"/>
        </w:rPr>
        <w:t>og Sunnfjord</w:t>
      </w:r>
      <w:r w:rsidRPr="004026E6">
        <w:rPr>
          <w:rFonts w:cs="ArialMT"/>
          <w:sz w:val="19"/>
          <w:szCs w:val="19"/>
        </w:rPr>
        <w:t xml:space="preserve"> kommune sitt sjøområde</w:t>
      </w:r>
      <w:r>
        <w:rPr>
          <w:rFonts w:cs="ArialMT"/>
          <w:sz w:val="19"/>
          <w:szCs w:val="19"/>
        </w:rPr>
        <w:t>.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HEIMEL: LOV-2019-06-21-70, § 36</w:t>
      </w:r>
    </w:p>
    <w:p w:rsid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</w:p>
    <w:p w:rsidR="00A47F19" w:rsidRPr="004026E6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  <w:r w:rsidRPr="004026E6">
        <w:rPr>
          <w:rFonts w:cs="Arial-BoldMT"/>
          <w:b/>
          <w:bCs/>
          <w:sz w:val="19"/>
          <w:szCs w:val="19"/>
        </w:rPr>
        <w:t>1. FORMÅL</w:t>
      </w:r>
    </w:p>
    <w:p w:rsid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Farvassavgifta skal dekke kommunen sine kostnadar forbunde med utføring av oppgåvene nemnt i hamne</w:t>
      </w:r>
      <w:r>
        <w:rPr>
          <w:rFonts w:cs="ArialMT"/>
          <w:sz w:val="19"/>
          <w:szCs w:val="19"/>
        </w:rPr>
        <w:t xml:space="preserve">- </w:t>
      </w:r>
      <w:r w:rsidRPr="004026E6">
        <w:rPr>
          <w:rFonts w:cs="ArialMT"/>
          <w:sz w:val="19"/>
          <w:szCs w:val="19"/>
        </w:rPr>
        <w:t>og farvassloven § 36 andre ledd.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A47F19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  <w:r w:rsidRPr="004026E6">
        <w:rPr>
          <w:rFonts w:cs="Arial-BoldMT"/>
          <w:b/>
          <w:bCs/>
          <w:sz w:val="19"/>
          <w:szCs w:val="19"/>
        </w:rPr>
        <w:t>2. VERKEOMRÅDE MM.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2.1 Forskrifta gjeld alle fartøy som gjer anløp til offentleg eller privat hamn og anlegg for drift av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 xml:space="preserve">akvakulturanlegg i </w:t>
      </w:r>
      <w:r w:rsidR="00A47F19">
        <w:rPr>
          <w:rFonts w:cs="ArialMT"/>
          <w:sz w:val="19"/>
          <w:szCs w:val="19"/>
        </w:rPr>
        <w:t xml:space="preserve">det samanhengande </w:t>
      </w:r>
      <w:r w:rsidRPr="004026E6">
        <w:rPr>
          <w:rFonts w:cs="ArialMT"/>
          <w:sz w:val="19"/>
          <w:szCs w:val="19"/>
        </w:rPr>
        <w:t xml:space="preserve">sjøområdet til </w:t>
      </w:r>
      <w:r w:rsidR="00A47F19">
        <w:rPr>
          <w:rFonts w:cs="ArialMT"/>
          <w:sz w:val="19"/>
          <w:szCs w:val="19"/>
        </w:rPr>
        <w:t>medlemskommuna</w:t>
      </w:r>
      <w:r>
        <w:rPr>
          <w:rFonts w:cs="ArialMT"/>
          <w:sz w:val="19"/>
          <w:szCs w:val="19"/>
        </w:rPr>
        <w:t>n</w:t>
      </w:r>
      <w:r w:rsidR="00A47F19">
        <w:rPr>
          <w:rFonts w:cs="ArialMT"/>
          <w:sz w:val="19"/>
          <w:szCs w:val="19"/>
        </w:rPr>
        <w:t>e</w:t>
      </w:r>
      <w:r w:rsidRPr="004026E6">
        <w:rPr>
          <w:rFonts w:cs="ArialMT"/>
          <w:sz w:val="19"/>
          <w:szCs w:val="19"/>
        </w:rPr>
        <w:t>, jf. hamne- og farvassloven §36 fyrste ledd. Fartøy og</w:t>
      </w:r>
      <w:r w:rsidR="00A47F19">
        <w:rPr>
          <w:rFonts w:cs="ArialMT"/>
          <w:sz w:val="19"/>
          <w:szCs w:val="19"/>
        </w:rPr>
        <w:t xml:space="preserve"> </w:t>
      </w:r>
      <w:r w:rsidRPr="004026E6">
        <w:rPr>
          <w:rFonts w:cs="ArialMT"/>
          <w:sz w:val="19"/>
          <w:szCs w:val="19"/>
        </w:rPr>
        <w:t>hamn er definert i hamne- og farvassloven § 3, bokstav b) og d).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 xml:space="preserve">2.2 </w:t>
      </w:r>
      <w:r w:rsidR="009906BC">
        <w:rPr>
          <w:rFonts w:cs="ArialMT"/>
          <w:sz w:val="19"/>
          <w:szCs w:val="19"/>
        </w:rPr>
        <w:t xml:space="preserve">Alden </w:t>
      </w:r>
      <w:r w:rsidR="00A47F19">
        <w:rPr>
          <w:rFonts w:cs="ArialMT"/>
          <w:sz w:val="19"/>
          <w:szCs w:val="19"/>
        </w:rPr>
        <w:t>hamneområde</w:t>
      </w:r>
      <w:r w:rsidRPr="004026E6">
        <w:rPr>
          <w:rFonts w:cs="ArialMT"/>
          <w:sz w:val="19"/>
          <w:szCs w:val="19"/>
        </w:rPr>
        <w:t xml:space="preserve"> kan krevje inn farvassavgift og elles stå for handheving av forskrifta på vegne</w:t>
      </w:r>
    </w:p>
    <w:p w:rsidR="004026E6" w:rsidRPr="004026E6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>
        <w:rPr>
          <w:rFonts w:cs="ArialMT"/>
          <w:sz w:val="19"/>
          <w:szCs w:val="19"/>
        </w:rPr>
        <w:t>av medlemskommunane.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2.3 Unnateke frå plikt til å betale farvassavgift er: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a) Fartøy med største lengde under 15 meter (ikkje målepliktige fartøy)</w:t>
      </w:r>
      <w:r w:rsidR="00A47F19">
        <w:rPr>
          <w:rFonts w:cs="ArialMT"/>
          <w:sz w:val="19"/>
          <w:szCs w:val="19"/>
        </w:rPr>
        <w:t>.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 xml:space="preserve">b) </w:t>
      </w:r>
      <w:r w:rsidR="00A47F19">
        <w:rPr>
          <w:rFonts w:cs="ArialMT"/>
          <w:sz w:val="19"/>
          <w:szCs w:val="19"/>
        </w:rPr>
        <w:t xml:space="preserve">Farty som betalar </w:t>
      </w:r>
      <w:r w:rsidR="00FE604E">
        <w:rPr>
          <w:rFonts w:cs="ArialMT"/>
          <w:sz w:val="19"/>
          <w:szCs w:val="19"/>
        </w:rPr>
        <w:t>særskild</w:t>
      </w:r>
      <w:r w:rsidR="00A47F19">
        <w:rPr>
          <w:rFonts w:cs="ArialMT"/>
          <w:sz w:val="19"/>
          <w:szCs w:val="19"/>
        </w:rPr>
        <w:t xml:space="preserve"> hamnevederlag.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c) Norske og utanlandske orlogsfartøy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d) Kystverket sine fartøy i samband med arbeid i farvatnet.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e) Fartøy som søkjer hamn på grunn av skade eller naudstilstand, så lenge fartøyet ikkje lastar, lossar eller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tek om bord passasjerar</w:t>
      </w:r>
    </w:p>
    <w:p w:rsid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 xml:space="preserve">f) </w:t>
      </w:r>
      <w:r w:rsidR="00A47F19">
        <w:rPr>
          <w:rFonts w:cs="ArialMT"/>
          <w:sz w:val="19"/>
          <w:szCs w:val="19"/>
        </w:rPr>
        <w:t>Bergings- og isbrytarfarty i høve til berging og isbryting.</w:t>
      </w:r>
    </w:p>
    <w:p w:rsidR="00A47F19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A47F19" w:rsidRPr="004026E6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>
        <w:rPr>
          <w:rFonts w:cs="ArialMT"/>
          <w:sz w:val="19"/>
          <w:szCs w:val="19"/>
        </w:rPr>
        <w:t xml:space="preserve">Kommunen kan frita andre farty enn dei som er nemnt frå plikt til å betale </w:t>
      </w:r>
      <w:r w:rsidR="00FE604E">
        <w:rPr>
          <w:rFonts w:cs="ArialMT"/>
          <w:sz w:val="19"/>
          <w:szCs w:val="19"/>
        </w:rPr>
        <w:t>farvas</w:t>
      </w:r>
      <w:r>
        <w:rPr>
          <w:rFonts w:cs="ArialMT"/>
          <w:sz w:val="19"/>
          <w:szCs w:val="19"/>
        </w:rPr>
        <w:t>savgift.</w:t>
      </w:r>
    </w:p>
    <w:p w:rsidR="00A47F19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A47F19" w:rsidRPr="004026E6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  <w:r w:rsidRPr="004026E6">
        <w:rPr>
          <w:rFonts w:cs="Arial-BoldMT"/>
          <w:b/>
          <w:bCs/>
          <w:sz w:val="19"/>
          <w:szCs w:val="19"/>
        </w:rPr>
        <w:t>3. BEREKNINGSGRUNNLAG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3.1 Farvassavgift vert rekna ut etter fartøyet sin bruttotonnasje (BT), slik det vert rekna ut etter den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internasjonale konvensjonen av 23. juni 1969 om måling av fartøy. For fartøy som ikkje har gyldig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målebrev, eller ikkje kan legge dette fram ei veke etter førespurt vert bruttotonnasje fastsett av kommune</w:t>
      </w:r>
      <w:r w:rsidR="00A47F19">
        <w:rPr>
          <w:rFonts w:cs="ArialMT"/>
          <w:sz w:val="19"/>
          <w:szCs w:val="19"/>
        </w:rPr>
        <w:t>n</w:t>
      </w:r>
      <w:r w:rsidRPr="004026E6">
        <w:rPr>
          <w:rFonts w:cs="ArialMT"/>
          <w:sz w:val="19"/>
          <w:szCs w:val="19"/>
        </w:rPr>
        <w:t xml:space="preserve"> etter skjønn, til dømes basert på tilsvarande fartøy.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3.2 Farvassavgift vert berre i</w:t>
      </w:r>
      <w:r w:rsidR="00FE604E">
        <w:rPr>
          <w:rFonts w:cs="ArialMT"/>
          <w:sz w:val="19"/>
          <w:szCs w:val="19"/>
        </w:rPr>
        <w:t xml:space="preserve"> </w:t>
      </w:r>
      <w:r w:rsidRPr="004026E6">
        <w:rPr>
          <w:rFonts w:cs="ArialMT"/>
          <w:sz w:val="19"/>
          <w:szCs w:val="19"/>
        </w:rPr>
        <w:t>lagt ein gong per døgn per skip, sjølv om eit skip gjer fleire anløp innan same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døgn. Eit døgn vert rekna som tida frå midnatt til midnatt innan same dato.</w:t>
      </w:r>
    </w:p>
    <w:p w:rsidR="00A47F19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</w:p>
    <w:p w:rsidR="00A47F19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  <w:r w:rsidRPr="004026E6">
        <w:rPr>
          <w:rFonts w:cs="Arial-BoldMT"/>
          <w:b/>
          <w:bCs/>
          <w:sz w:val="19"/>
          <w:szCs w:val="19"/>
        </w:rPr>
        <w:t xml:space="preserve">4. </w:t>
      </w:r>
      <w:r w:rsidR="00A47F19">
        <w:rPr>
          <w:rFonts w:cs="Arial-BoldMT"/>
          <w:b/>
          <w:bCs/>
          <w:sz w:val="19"/>
          <w:szCs w:val="19"/>
        </w:rPr>
        <w:t>KOSTNADER SOM DEKKAST AV FARVASSAVGIFT</w:t>
      </w:r>
    </w:p>
    <w:p w:rsidR="004026E6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>
        <w:rPr>
          <w:rFonts w:cs="ArialMT"/>
          <w:sz w:val="19"/>
          <w:szCs w:val="19"/>
        </w:rPr>
        <w:t xml:space="preserve">Farvassavgifta skal berre dekke kommunen sine kostnader ved utøving av offentleg mynde med heimel i hamne- og farvasslova, naudsynt isbryting og fjerning av gjenstandar som hindrar sjøtransporten eller er </w:t>
      </w:r>
      <w:r w:rsidR="004D7E7F">
        <w:rPr>
          <w:rFonts w:cs="ArialMT"/>
          <w:sz w:val="19"/>
          <w:szCs w:val="19"/>
        </w:rPr>
        <w:t>til fare for ferdselen i kommun</w:t>
      </w:r>
      <w:r>
        <w:rPr>
          <w:rFonts w:cs="ArialMT"/>
          <w:sz w:val="19"/>
          <w:szCs w:val="19"/>
        </w:rPr>
        <w:t>en sitt sjøområde, jf §6</w:t>
      </w:r>
      <w:r w:rsidR="00731A0E">
        <w:rPr>
          <w:rFonts w:cs="ArialMT"/>
          <w:sz w:val="19"/>
          <w:szCs w:val="19"/>
        </w:rPr>
        <w:t xml:space="preserve">, samt farvasskilt og navigasjonsinnretningar som kommunen eig. </w:t>
      </w:r>
    </w:p>
    <w:p w:rsidR="007062F1" w:rsidRDefault="007062F1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7062F1" w:rsidRPr="004026E6" w:rsidRDefault="007062F1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>
        <w:rPr>
          <w:rFonts w:cs="ArialMT"/>
          <w:sz w:val="19"/>
          <w:szCs w:val="19"/>
        </w:rPr>
        <w:t>Felleskostnader til administrasjonen vert rekna og fordelt slik at farvassavgifta b</w:t>
      </w:r>
      <w:r w:rsidR="00FE604E">
        <w:rPr>
          <w:rFonts w:cs="ArialMT"/>
          <w:sz w:val="19"/>
          <w:szCs w:val="19"/>
        </w:rPr>
        <w:t xml:space="preserve">erre lastast med sin relative </w:t>
      </w:r>
      <w:r>
        <w:rPr>
          <w:rFonts w:cs="ArialMT"/>
          <w:sz w:val="19"/>
          <w:szCs w:val="19"/>
        </w:rPr>
        <w:t>del av felleskostnadane. Avskriving og renter reknast som kostnad.</w:t>
      </w:r>
    </w:p>
    <w:p w:rsidR="00A47F19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</w:p>
    <w:p w:rsidR="00A47F19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  <w:r w:rsidRPr="004026E6">
        <w:rPr>
          <w:rFonts w:cs="Arial-BoldMT"/>
          <w:b/>
          <w:bCs/>
          <w:sz w:val="19"/>
          <w:szCs w:val="19"/>
        </w:rPr>
        <w:t>5. OPPLYSNINGSPLIKT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 xml:space="preserve">5.1 Fartøy som gjer anløp i hamn i sjøområdet pliktar å gje </w:t>
      </w:r>
      <w:r w:rsidR="004D7E7F">
        <w:rPr>
          <w:rFonts w:cs="ArialMT"/>
          <w:sz w:val="19"/>
          <w:szCs w:val="19"/>
        </w:rPr>
        <w:t>Alden hamneområde</w:t>
      </w:r>
      <w:r w:rsidRPr="004026E6">
        <w:rPr>
          <w:rFonts w:cs="ArialMT"/>
          <w:sz w:val="19"/>
          <w:szCs w:val="19"/>
        </w:rPr>
        <w:t xml:space="preserve"> naudsynte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opplysningar for utrekning og innkrevjing av farvassavgift, inkludert målebrev og fakturaadresse til reiarlag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og eventuell agent.</w:t>
      </w:r>
    </w:p>
    <w:p w:rsidR="00A47F19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</w:p>
    <w:p w:rsidR="00A47F19" w:rsidRDefault="00A47F19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9"/>
          <w:szCs w:val="19"/>
        </w:rPr>
      </w:pPr>
      <w:r w:rsidRPr="004026E6">
        <w:rPr>
          <w:rFonts w:cs="Arial-BoldMT"/>
          <w:b/>
          <w:bCs/>
          <w:sz w:val="19"/>
          <w:szCs w:val="19"/>
        </w:rPr>
        <w:t>6. ANSVARSFORHOLD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6.1 Eigar, reiar og agent svarar solidarisk for krav på farvassavgift, jf. hamne- og farvassloven § 40 fyrste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ledd. Eigar og reiar er definert i hamne- og farvassloven § 3 bokstav a) og i). Skuldig farvassavgift er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lastRenderedPageBreak/>
        <w:t>tvangsgrunnlag for utlegg, jf. hamne- og farvassloven § 41 fyrste ledd. Ved forseinka betaling av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farvassavgift svarar ein forseinkingsrente, jf. hamne- og farvassloven §41 tredje ledd.</w:t>
      </w:r>
    </w:p>
    <w:p w:rsidR="004026E6" w:rsidRP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 xml:space="preserve">6.2 Krav </w:t>
      </w:r>
      <w:r w:rsidR="00A01600">
        <w:rPr>
          <w:rFonts w:cs="ArialMT"/>
          <w:sz w:val="19"/>
          <w:szCs w:val="19"/>
        </w:rPr>
        <w:t>kommunane</w:t>
      </w:r>
      <w:r w:rsidRPr="004026E6">
        <w:rPr>
          <w:rFonts w:cs="ArialMT"/>
          <w:sz w:val="19"/>
          <w:szCs w:val="19"/>
        </w:rPr>
        <w:t xml:space="preserve"> har mot reiar er sikra med panterett i skipet etter reglar om sjøpanterett i</w:t>
      </w:r>
    </w:p>
    <w:p w:rsidR="004026E6" w:rsidRDefault="004026E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 w:rsidRPr="004026E6">
        <w:rPr>
          <w:rFonts w:cs="ArialMT"/>
          <w:sz w:val="19"/>
          <w:szCs w:val="19"/>
        </w:rPr>
        <w:t>hamne og farvasslova § 41.</w:t>
      </w:r>
    </w:p>
    <w:p w:rsidR="00F90462" w:rsidRDefault="00F90462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F90462" w:rsidRDefault="00F90462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F90462" w:rsidRDefault="00F90462" w:rsidP="004026E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9"/>
          <w:szCs w:val="19"/>
        </w:rPr>
      </w:pPr>
      <w:r>
        <w:rPr>
          <w:rFonts w:cs="ArialMT"/>
          <w:b/>
          <w:sz w:val="19"/>
          <w:szCs w:val="19"/>
        </w:rPr>
        <w:t>7. RABATTORDNNINGAR</w:t>
      </w:r>
    </w:p>
    <w:p w:rsidR="00F90462" w:rsidRDefault="00F90462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>
        <w:rPr>
          <w:rFonts w:cs="ArialMT"/>
          <w:sz w:val="19"/>
          <w:szCs w:val="19"/>
        </w:rPr>
        <w:t>Kommunen kan fastsette rabattordningar, herunder årsavgift eller sesongavgift.</w:t>
      </w:r>
    </w:p>
    <w:p w:rsidR="00F90462" w:rsidRDefault="00F90462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F90462" w:rsidRDefault="00F90462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F90462" w:rsidRDefault="00F90462" w:rsidP="004026E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9"/>
          <w:szCs w:val="19"/>
        </w:rPr>
      </w:pPr>
      <w:r>
        <w:rPr>
          <w:rFonts w:cs="ArialMT"/>
          <w:b/>
          <w:sz w:val="19"/>
          <w:szCs w:val="19"/>
        </w:rPr>
        <w:t xml:space="preserve">8. </w:t>
      </w:r>
      <w:r w:rsidR="00DD60FE">
        <w:rPr>
          <w:rFonts w:cs="ArialMT"/>
          <w:b/>
          <w:sz w:val="19"/>
          <w:szCs w:val="19"/>
        </w:rPr>
        <w:t>INNFØRING OG ENDRING</w:t>
      </w:r>
    </w:p>
    <w:p w:rsidR="00AC2855" w:rsidRDefault="00AC2855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>
        <w:rPr>
          <w:rFonts w:cs="ArialMT"/>
          <w:sz w:val="19"/>
          <w:szCs w:val="19"/>
        </w:rPr>
        <w:t>Innføring og endring av farvassavgifta bør skj</w:t>
      </w:r>
      <w:r w:rsidR="00FE604E">
        <w:rPr>
          <w:rFonts w:cs="ArialMT"/>
          <w:sz w:val="19"/>
          <w:szCs w:val="19"/>
        </w:rPr>
        <w:t>e</w:t>
      </w:r>
      <w:r>
        <w:rPr>
          <w:rFonts w:cs="ArialMT"/>
          <w:sz w:val="19"/>
          <w:szCs w:val="19"/>
        </w:rPr>
        <w:t xml:space="preserve"> ved verknad frå 01 januar.</w:t>
      </w:r>
    </w:p>
    <w:p w:rsidR="00AC2855" w:rsidRDefault="00AC2855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AC2855" w:rsidRDefault="00AC2855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AC2855" w:rsidRDefault="00AC2855" w:rsidP="004026E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9"/>
          <w:szCs w:val="19"/>
        </w:rPr>
      </w:pPr>
      <w:r>
        <w:rPr>
          <w:rFonts w:cs="ArialMT"/>
          <w:b/>
          <w:sz w:val="19"/>
          <w:szCs w:val="19"/>
        </w:rPr>
        <w:t>9. ETTERKALKULASJON</w:t>
      </w:r>
    </w:p>
    <w:p w:rsidR="00AC2855" w:rsidRDefault="00AC2855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>
        <w:rPr>
          <w:rFonts w:cs="ArialMT"/>
          <w:sz w:val="19"/>
          <w:szCs w:val="19"/>
        </w:rPr>
        <w:t>Kommunen skal for kvart år foreta ein etterkalkulasjon som syner inntekt frå farvassavgifta og dei kostnadane som skal dekkast av denne. Fordeling av kostnader</w:t>
      </w:r>
      <w:r w:rsidR="00FA3B9F">
        <w:rPr>
          <w:rFonts w:cs="ArialMT"/>
          <w:sz w:val="19"/>
          <w:szCs w:val="19"/>
        </w:rPr>
        <w:t xml:space="preserve"> skal vere dokumentert og etterprøvbar.</w:t>
      </w:r>
      <w:r w:rsidR="00053225">
        <w:rPr>
          <w:rFonts w:cs="ArialMT"/>
          <w:sz w:val="19"/>
          <w:szCs w:val="19"/>
        </w:rPr>
        <w:t xml:space="preserve"> </w:t>
      </w:r>
      <w:r w:rsidR="00053225" w:rsidRPr="00053225">
        <w:rPr>
          <w:rFonts w:cs="ArialMT"/>
          <w:sz w:val="19"/>
          <w:szCs w:val="19"/>
        </w:rPr>
        <w:t>Administrasjonen har mynde til å gjere mindre endringar av avgiftsnivået i løpet av året når etterkalkulasjonen synar at dette er naudsynt.</w:t>
      </w:r>
    </w:p>
    <w:p w:rsidR="00FA3B9F" w:rsidRDefault="00FA3B9F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bookmarkStart w:id="0" w:name="_GoBack"/>
      <w:bookmarkEnd w:id="0"/>
    </w:p>
    <w:p w:rsidR="00FA3B9F" w:rsidRDefault="00FA3B9F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FA3B9F" w:rsidRDefault="00FA3B9F" w:rsidP="004026E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9"/>
          <w:szCs w:val="19"/>
        </w:rPr>
      </w:pPr>
      <w:r>
        <w:rPr>
          <w:rFonts w:cs="ArialMT"/>
          <w:b/>
          <w:sz w:val="19"/>
          <w:szCs w:val="19"/>
        </w:rPr>
        <w:t>10. TILSYN</w:t>
      </w:r>
    </w:p>
    <w:p w:rsidR="00FA3B9F" w:rsidRDefault="00FA3B9F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>
        <w:rPr>
          <w:rFonts w:cs="ArialMT"/>
          <w:sz w:val="19"/>
          <w:szCs w:val="19"/>
        </w:rPr>
        <w:t>Kystverket fører tilsyn med at bestemmingane i forskrifta vert helde.</w:t>
      </w:r>
    </w:p>
    <w:p w:rsidR="00A95616" w:rsidRDefault="00A9561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A95616" w:rsidRDefault="00A9561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</w:p>
    <w:p w:rsidR="00A95616" w:rsidRDefault="00A95616" w:rsidP="004026E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9"/>
          <w:szCs w:val="19"/>
        </w:rPr>
      </w:pPr>
      <w:r>
        <w:rPr>
          <w:rFonts w:cs="ArialMT"/>
          <w:b/>
          <w:sz w:val="19"/>
          <w:szCs w:val="19"/>
        </w:rPr>
        <w:t>11. KLAGE</w:t>
      </w:r>
    </w:p>
    <w:p w:rsidR="00A95616" w:rsidRPr="00A95616" w:rsidRDefault="00A95616" w:rsidP="004026E6">
      <w:pPr>
        <w:autoSpaceDE w:val="0"/>
        <w:autoSpaceDN w:val="0"/>
        <w:adjustRightInd w:val="0"/>
        <w:spacing w:after="0" w:line="240" w:lineRule="auto"/>
        <w:rPr>
          <w:rFonts w:cs="ArialMT"/>
          <w:sz w:val="19"/>
          <w:szCs w:val="19"/>
        </w:rPr>
      </w:pPr>
      <w:r>
        <w:rPr>
          <w:rFonts w:cs="ArialMT"/>
          <w:sz w:val="19"/>
          <w:szCs w:val="19"/>
        </w:rPr>
        <w:t xml:space="preserve">Enkeltvedtak </w:t>
      </w:r>
      <w:r w:rsidR="00E8606D">
        <w:rPr>
          <w:rFonts w:cs="ArialMT"/>
          <w:sz w:val="19"/>
          <w:szCs w:val="19"/>
        </w:rPr>
        <w:t xml:space="preserve">som vert treft etter forskrifta kan påklagast, jf. Forvaltningslova §2 fyrste ledd, bokstav b). Kystverket sitt hovudkontor er </w:t>
      </w:r>
      <w:r w:rsidR="00FE604E">
        <w:rPr>
          <w:rFonts w:cs="ArialMT"/>
          <w:sz w:val="19"/>
          <w:szCs w:val="19"/>
        </w:rPr>
        <w:t>klageinstans</w:t>
      </w:r>
      <w:r w:rsidR="00E8606D">
        <w:rPr>
          <w:rFonts w:cs="ArialMT"/>
          <w:sz w:val="19"/>
          <w:szCs w:val="19"/>
        </w:rPr>
        <w:t xml:space="preserve">. </w:t>
      </w:r>
    </w:p>
    <w:sectPr w:rsidR="00A95616" w:rsidRPr="00A9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7"/>
    <w:rsid w:val="00053225"/>
    <w:rsid w:val="000B6E4A"/>
    <w:rsid w:val="001E57CB"/>
    <w:rsid w:val="004026E6"/>
    <w:rsid w:val="004D7E7F"/>
    <w:rsid w:val="007062F1"/>
    <w:rsid w:val="00731A0E"/>
    <w:rsid w:val="00761587"/>
    <w:rsid w:val="00821C40"/>
    <w:rsid w:val="009906BC"/>
    <w:rsid w:val="00A01600"/>
    <w:rsid w:val="00A47F19"/>
    <w:rsid w:val="00A95616"/>
    <w:rsid w:val="00AC2855"/>
    <w:rsid w:val="00DD60FE"/>
    <w:rsid w:val="00E8606D"/>
    <w:rsid w:val="00F90462"/>
    <w:rsid w:val="00FA3B9F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66B9"/>
  <w15:chartTrackingRefBased/>
  <w15:docId w15:val="{11D25239-0D51-4970-88DE-CBCF216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Mortensen Midtbø</dc:creator>
  <cp:keywords/>
  <dc:description/>
  <cp:lastModifiedBy>Linda Mortensen Midtbø</cp:lastModifiedBy>
  <cp:revision>3</cp:revision>
  <cp:lastPrinted>2020-03-31T11:05:00Z</cp:lastPrinted>
  <dcterms:created xsi:type="dcterms:W3CDTF">2020-04-20T09:59:00Z</dcterms:created>
  <dcterms:modified xsi:type="dcterms:W3CDTF">2020-04-20T10:00:00Z</dcterms:modified>
</cp:coreProperties>
</file>